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FC09E8" w14:textId="0C6290B5" w:rsidR="00FB7BA7" w:rsidRDefault="00E07018" w:rsidP="00257441">
      <w:pPr>
        <w:pStyle w:val="Heading1"/>
        <w:rPr>
          <w:rFonts w:asciiTheme="minorHAnsi" w:eastAsiaTheme="minorHAnsi" w:hAnsiTheme="minorHAnsi" w:cstheme="minorBidi"/>
          <w:color w:val="auto"/>
          <w:sz w:val="22"/>
          <w:szCs w:val="22"/>
        </w:rPr>
      </w:pPr>
      <w:r>
        <w:rPr>
          <w:rFonts w:asciiTheme="minorHAnsi" w:hAnsiTheme="minorHAnsi"/>
          <w:color w:val="auto"/>
          <w:sz w:val="22"/>
        </w:rPr>
        <w:t>Schréder EKINOX con tecnología de Sunna Design es una solución de iluminación solar autónoma que combina la producción de energía renovable con las</w:t>
      </w:r>
      <w:r w:rsidR="00B15D86">
        <w:rPr>
          <w:rFonts w:asciiTheme="minorHAnsi" w:hAnsiTheme="minorHAnsi"/>
          <w:color w:val="auto"/>
          <w:sz w:val="22"/>
        </w:rPr>
        <w:t xml:space="preserve"> eficientes</w:t>
      </w:r>
      <w:r>
        <w:rPr>
          <w:rFonts w:asciiTheme="minorHAnsi" w:hAnsiTheme="minorHAnsi"/>
          <w:color w:val="auto"/>
          <w:sz w:val="22"/>
        </w:rPr>
        <w:t xml:space="preserve"> fotometrías de Schréder para alcanzar unos niveles de iluminación óptimos y, al mismo tiempo, reducir el impacto ecológico y preservar el medioambiente.  Se compone de 3 kits solares (2 capacidades de batería) combinados con luminarias Schréder exclusivas, equipadas con entre 20 y 80 LED de alta potencia.</w:t>
      </w:r>
    </w:p>
    <w:p w14:paraId="1C1E0182" w14:textId="77777777" w:rsidR="00E07018" w:rsidRPr="00B15D86" w:rsidRDefault="00E07018" w:rsidP="00E07018"/>
    <w:p w14:paraId="0E478E98" w14:textId="56C3EA30" w:rsidR="00257441" w:rsidRPr="00381687" w:rsidRDefault="00257441" w:rsidP="00257441">
      <w:pPr>
        <w:pStyle w:val="Heading1"/>
      </w:pPr>
      <w:r>
        <w:t>Texto de licitación 1</w:t>
      </w:r>
    </w:p>
    <w:p w14:paraId="6E20C78A" w14:textId="08D6334F" w:rsidR="00FB7BA7" w:rsidRDefault="007E0BA5" w:rsidP="00257441">
      <w:r>
        <w:t>Schréder EKINOX con tecnología de Sunna Design se ha desarrollado para aprovechar al máximo la energía solar disponible. El panel solar es independiente de la luminaria y se puede inclinar entre 5° y 50° para alinearse perfectamente con la orientación del sol y obtener la mayor cantidad posible de energía.</w:t>
      </w:r>
    </w:p>
    <w:p w14:paraId="35AA1FAB" w14:textId="1C7B08B6" w:rsidR="00257441" w:rsidRPr="00381687" w:rsidRDefault="00257441" w:rsidP="00257441">
      <w:r>
        <w:rPr>
          <w:u w:val="single"/>
        </w:rPr>
        <w:t>Especificaciones</w:t>
      </w:r>
      <w:r>
        <w:t>:</w:t>
      </w:r>
    </w:p>
    <w:p w14:paraId="070AA3E9" w14:textId="1201ED5E" w:rsidR="00257441" w:rsidRPr="00381687" w:rsidRDefault="00AF673B" w:rsidP="00257441">
      <w:r>
        <w:t xml:space="preserve">El panel solar se puede ajustar independientemente de la luminaria en al menos 4 incrementos entre 5° y 50°, y se puede alinear en función de la luz solar local. </w:t>
      </w:r>
    </w:p>
    <w:p w14:paraId="3E3ED293" w14:textId="5D0C77AA" w:rsidR="00257441" w:rsidRDefault="0020233C" w:rsidP="00257441">
      <w:r w:rsidRPr="0020233C">
        <w:t>Como demostración</w:t>
      </w:r>
      <w:r w:rsidR="00D42B36" w:rsidRPr="0020233C">
        <w:t>:</w:t>
      </w:r>
      <w:r w:rsidRPr="0020233C">
        <w:t xml:space="preserve"> </w:t>
      </w:r>
      <w:r w:rsidRPr="0020233C">
        <w:t>auto-declaración</w:t>
      </w:r>
      <w:r w:rsidR="00D42B36">
        <w:t>, plano del kit solar, instrucciones de instalación.</w:t>
      </w:r>
    </w:p>
    <w:p w14:paraId="260510F7" w14:textId="77777777" w:rsidR="0039623C" w:rsidRPr="00B15D86" w:rsidRDefault="0039623C" w:rsidP="00257441"/>
    <w:p w14:paraId="0B211C56" w14:textId="77777777" w:rsidR="00257441" w:rsidRPr="00381687" w:rsidRDefault="00257441" w:rsidP="00257441">
      <w:pPr>
        <w:pStyle w:val="Heading1"/>
      </w:pPr>
      <w:r>
        <w:t xml:space="preserve">Texto de licitación 2 </w:t>
      </w:r>
    </w:p>
    <w:p w14:paraId="1048B4EF" w14:textId="0D0CC8A3" w:rsidR="00257441" w:rsidRDefault="00652B02" w:rsidP="00257441">
      <w:r>
        <w:t>Para una iluminación óptima de la zona, la luminaria con distribución fotométrica adecuada se coloca independientemente del panel solar para permitir una proporción altura/espacio óptima, regulando con precisión el ajuste de inclinación de la luminaria para evitar el deslumbramiento y el uso excesivo de energía.</w:t>
      </w:r>
    </w:p>
    <w:p w14:paraId="5051F650" w14:textId="3E79D342" w:rsidR="00257441" w:rsidRPr="00381687" w:rsidRDefault="00257441" w:rsidP="00257441">
      <w:r>
        <w:rPr>
          <w:u w:val="single"/>
        </w:rPr>
        <w:t>Especificaciones</w:t>
      </w:r>
      <w:r>
        <w:t>:</w:t>
      </w:r>
    </w:p>
    <w:p w14:paraId="73632B75" w14:textId="1E6A81B3" w:rsidR="00257441" w:rsidRPr="00381687" w:rsidRDefault="0028253F" w:rsidP="00257441">
      <w:r>
        <w:t>La solución de iluminación solar debe permitir que la luminaria se monte de forma independiente del panel solar con el fin de optimizar la proporción altura/interdistancia y ofrecer parámetros específicos a la luminaria para que se emita la distribución fotométrica adecuada para la aplicación.</w:t>
      </w:r>
    </w:p>
    <w:p w14:paraId="3E8723E3" w14:textId="48BA827C" w:rsidR="00257441" w:rsidRPr="00381687" w:rsidRDefault="0020233C" w:rsidP="00257441">
      <w:r w:rsidRPr="0020233C">
        <w:t>Como demostración: auto-declaración</w:t>
      </w:r>
      <w:r w:rsidR="0028253F">
        <w:t>, plano de la luminaria e instrucciones de instalación, estudio de iluminación.</w:t>
      </w:r>
    </w:p>
    <w:p w14:paraId="61788305" w14:textId="77777777" w:rsidR="00257441" w:rsidRPr="00B15D86" w:rsidRDefault="00257441" w:rsidP="00257441"/>
    <w:p w14:paraId="67474290" w14:textId="77777777" w:rsidR="00257441" w:rsidRPr="00381687" w:rsidRDefault="00257441" w:rsidP="00257441">
      <w:pPr>
        <w:pStyle w:val="Heading1"/>
      </w:pPr>
      <w:r>
        <w:t>Texto de licitación 3</w:t>
      </w:r>
    </w:p>
    <w:p w14:paraId="13A7D72E" w14:textId="61AF0BCA" w:rsidR="00257441" w:rsidRDefault="004315C1" w:rsidP="00257441">
      <w:r>
        <w:t xml:space="preserve">Para facilitar la instalación, la luminaria y el panel solar van equipados con cable preinstalado con conectores específicos, haciendo físicamente imposible un error de conexión. Los conectores son </w:t>
      </w:r>
      <w:r w:rsidR="00B15D86">
        <w:t>estanco</w:t>
      </w:r>
      <w:r>
        <w:t>s y de pequeño tamaño, de forma que quepan fácilmente dentro de la columna o brazo.</w:t>
      </w:r>
    </w:p>
    <w:p w14:paraId="6927F406" w14:textId="313C3471" w:rsidR="00162615" w:rsidRDefault="00162615" w:rsidP="00257441">
      <w:pPr>
        <w:rPr>
          <w:u w:val="single"/>
        </w:rPr>
      </w:pPr>
      <w:r>
        <w:rPr>
          <w:u w:val="single"/>
        </w:rPr>
        <w:t>Especificaciones:</w:t>
      </w:r>
    </w:p>
    <w:p w14:paraId="0BC5F2AF" w14:textId="1893395E" w:rsidR="001F4B56" w:rsidRDefault="00DB0CFA" w:rsidP="00257441">
      <w:r>
        <w:lastRenderedPageBreak/>
        <w:t>La conexión entre los paneles solares y la luminaria debe disponer de un método de conexión a prueba de fallos, y estar suficientemente protegida contra el medio externo, con un grado de protección IP de al menos IP55.</w:t>
      </w:r>
    </w:p>
    <w:p w14:paraId="7F6614B1" w14:textId="6C0CCA7A" w:rsidR="003B139D" w:rsidRDefault="0020233C" w:rsidP="00257441">
      <w:r w:rsidRPr="0020233C">
        <w:t>Como demostración: auto-declaración</w:t>
      </w:r>
      <w:r w:rsidR="00255C9D">
        <w:t>, ficha técnica del conector, instrucciones de instalación.</w:t>
      </w:r>
    </w:p>
    <w:p w14:paraId="2CF5542D" w14:textId="77777777" w:rsidR="00AF46B6" w:rsidRPr="00B15D86" w:rsidRDefault="00AF46B6" w:rsidP="00257441"/>
    <w:p w14:paraId="1A7053AF" w14:textId="77777777" w:rsidR="00257441" w:rsidRPr="00381687" w:rsidRDefault="00257441" w:rsidP="00257441">
      <w:pPr>
        <w:pStyle w:val="Heading1"/>
      </w:pPr>
      <w:r>
        <w:t>Texto de licitación 4</w:t>
      </w:r>
    </w:p>
    <w:p w14:paraId="2858D6CC" w14:textId="70D90367" w:rsidR="00C45E97" w:rsidRDefault="00067BBB" w:rsidP="00710C4A">
      <w:r>
        <w:t>Para aumentar la seguridad y a la vez conservar energía durante toda la noche, hay disponible un sensor de movimiento PIR opcional en la luminaria. Gracias a la funcionalidad del sensor, es posible establecer un nivel de iluminación superior durante un periodo de tiempo determinado tras una detección. Para evitar cortes de alimentación o apagones al final de la noche, el sistema monitoriza constantemente el estado de la batería y cambia oportunamente el programa de detección para ahorrar energía.</w:t>
      </w:r>
    </w:p>
    <w:p w14:paraId="403EC7A4" w14:textId="5064898B" w:rsidR="001E49E2" w:rsidRDefault="00FA7F4F" w:rsidP="00710C4A">
      <w:pPr>
        <w:rPr>
          <w:u w:val="single"/>
        </w:rPr>
      </w:pPr>
      <w:r>
        <w:rPr>
          <w:u w:val="single"/>
        </w:rPr>
        <w:t>Especificaciones:</w:t>
      </w:r>
    </w:p>
    <w:p w14:paraId="7FB63B05" w14:textId="339CDBFF" w:rsidR="00FA7F4F" w:rsidRDefault="00145D62" w:rsidP="00710C4A">
      <w:r>
        <w:t>La solución solar debe estar equipada con un sensor de movimiento PIR opcional para aumentar el nivel de luz según un perfil seleccionable por el usuario cuando haya personas en la zona. El sensor PIR debe monitorizar también el estado de la batería para evitar que la luz se apague totalmente al final de la noche.</w:t>
      </w:r>
    </w:p>
    <w:p w14:paraId="0044AF9A" w14:textId="290326D4" w:rsidR="00760E0C" w:rsidRDefault="0020233C" w:rsidP="00710C4A">
      <w:r w:rsidRPr="0020233C">
        <w:t>Como demostración</w:t>
      </w:r>
      <w:r w:rsidR="00020106" w:rsidRPr="00B15D86">
        <w:rPr>
          <w:highlight w:val="yellow"/>
        </w:rPr>
        <w:t>:</w:t>
      </w:r>
      <w:r w:rsidR="00020106">
        <w:t xml:space="preserve"> ficha técnica de la luminaria, programación del perfil de regulación con detección de movimiento mediante PIR.</w:t>
      </w:r>
    </w:p>
    <w:p w14:paraId="1AD4E49B" w14:textId="77777777" w:rsidR="00020106" w:rsidRPr="00B15D86" w:rsidRDefault="00020106" w:rsidP="00710C4A"/>
    <w:p w14:paraId="6CF0B409" w14:textId="77777777" w:rsidR="00257441" w:rsidRPr="00381687" w:rsidRDefault="00257441" w:rsidP="00257441">
      <w:pPr>
        <w:pStyle w:val="Heading1"/>
      </w:pPr>
      <w:r>
        <w:t>Texto de licitación 5</w:t>
      </w:r>
    </w:p>
    <w:p w14:paraId="3A0B5EE9" w14:textId="46AD05E9" w:rsidR="00016E23" w:rsidRDefault="001F79B2" w:rsidP="00257441">
      <w:r>
        <w:t>Para mantener la iluminación toda la noche y ahorrar capacidad de la batería, hay disponibles varios perfiles de regulación, que se pueden usar en función de la ubicación, la obtención de energía solar durante el día, la duración de la noche, etc. La aplicación de un perfil de regulación adecuado garantiza que la capacidad de la batería sea suficiente para toda la noche. La unidad de gestión monitoriza constantemente el estado de las baterías y cambia el perfil de regulación si es necesario para evitar que la luz se apague totalmente.</w:t>
      </w:r>
    </w:p>
    <w:p w14:paraId="1368D74D" w14:textId="74FFA803" w:rsidR="00B86CAF" w:rsidRDefault="00B86CAF" w:rsidP="00257441">
      <w:pPr>
        <w:rPr>
          <w:u w:val="single"/>
        </w:rPr>
      </w:pPr>
      <w:r>
        <w:rPr>
          <w:u w:val="single"/>
        </w:rPr>
        <w:t xml:space="preserve">Especificaciones: </w:t>
      </w:r>
    </w:p>
    <w:p w14:paraId="1B163EE8" w14:textId="271ADB14" w:rsidR="001C0949" w:rsidRDefault="001C0949" w:rsidP="001C0949">
      <w:r>
        <w:t>La solución solar debe ser capaz de usar distintos perfiles de regulación para ahorrar energía. Los perfiles deben ser ajustables para adaptarse mejor al entorno de la instalación. La monitorización activa de la batería permitirá la modificación del perfil predefinido para evitar cortes de alimentación cuando la capacidad restante de la batería no sea suficiente para toda la noche si se usa el programa predefinido.</w:t>
      </w:r>
    </w:p>
    <w:p w14:paraId="2B55F9DD" w14:textId="782798B4" w:rsidR="00830957" w:rsidRPr="00102652" w:rsidRDefault="0020233C" w:rsidP="001C0949">
      <w:r w:rsidRPr="0020233C">
        <w:t>Como demostración</w:t>
      </w:r>
      <w:r w:rsidR="001C0949" w:rsidRPr="00B15D86">
        <w:rPr>
          <w:highlight w:val="yellow"/>
        </w:rPr>
        <w:t>:</w:t>
      </w:r>
      <w:r w:rsidR="001C0949">
        <w:t xml:space="preserve"> ficha técnica del kit solar, estudio de iluminación solar.</w:t>
      </w:r>
    </w:p>
    <w:p w14:paraId="5258DB37" w14:textId="77777777" w:rsidR="00257441" w:rsidRPr="00381687" w:rsidRDefault="00257441" w:rsidP="00257441">
      <w:pPr>
        <w:pStyle w:val="Heading1"/>
      </w:pPr>
      <w:r>
        <w:t>Texto de licitación 6</w:t>
      </w:r>
    </w:p>
    <w:p w14:paraId="50161DDF" w14:textId="4E9DE95D" w:rsidR="00AC4771" w:rsidRDefault="00861422" w:rsidP="00257441">
      <w:r>
        <w:t xml:space="preserve">La solución solar incluye gestión activa de la batería, que gestiona la obtención de energía solar por el panel solar, carga y descarga la batería y alimenta la luminaria. El sistema tiene la capacidad de </w:t>
      </w:r>
      <w:r>
        <w:lastRenderedPageBreak/>
        <w:t>monitorizar la energía generada/almacenada y el estado actual de la batería para ajustar el consumo de energía cambiando los perfiles de regulación y detección para evitar que la luz se apague del todo al final de la noche. La gestión activa de la batería impide también la sobrecarga y la descarga total de las baterías, para garantizar una larga vida útil.</w:t>
      </w:r>
    </w:p>
    <w:p w14:paraId="4EAFCD20" w14:textId="635B1302" w:rsidR="00CB672E" w:rsidRDefault="00CB672E" w:rsidP="00257441">
      <w:pPr>
        <w:rPr>
          <w:u w:val="single"/>
        </w:rPr>
      </w:pPr>
      <w:r>
        <w:rPr>
          <w:u w:val="single"/>
        </w:rPr>
        <w:t>Especificaciones:</w:t>
      </w:r>
    </w:p>
    <w:p w14:paraId="3A21331D" w14:textId="77777777" w:rsidR="001D21AA" w:rsidRDefault="001D21AA" w:rsidP="001D21AA">
      <w:r>
        <w:t>La solución solar debe tener gestión activa de la batería para garantizar una carga y descarga óptimas de la batería para prolongar su vida útil. Debe ser capaz de ajustar el consumo de energía en función del estado de la batería y de la cantidad de energía solar generada durante el día, con el fin de evitar que la luz se apague totalmente al final de la noche.</w:t>
      </w:r>
    </w:p>
    <w:p w14:paraId="0A9D588C" w14:textId="62CD9BE0" w:rsidR="00C32CD9" w:rsidRPr="00CB672E" w:rsidRDefault="0020233C" w:rsidP="00257441">
      <w:r w:rsidRPr="0020233C">
        <w:t>Como demostración</w:t>
      </w:r>
      <w:r w:rsidR="001D21AA" w:rsidRPr="00B15D86">
        <w:rPr>
          <w:highlight w:val="yellow"/>
        </w:rPr>
        <w:t>:</w:t>
      </w:r>
      <w:r w:rsidR="001D21AA">
        <w:t xml:space="preserve"> ficha técnica del kit solar, programación del sistema.</w:t>
      </w:r>
    </w:p>
    <w:p w14:paraId="0A4802E0" w14:textId="77777777" w:rsidR="00257441" w:rsidRPr="00B15D86" w:rsidRDefault="00257441" w:rsidP="00257441"/>
    <w:p w14:paraId="260F1FA1" w14:textId="77777777" w:rsidR="004F7AEE" w:rsidRPr="00B15D86" w:rsidRDefault="004F7AEE" w:rsidP="004F7AEE"/>
    <w:sectPr w:rsidR="004F7AEE" w:rsidRPr="00B15D86" w:rsidSect="00D032D7">
      <w:headerReference w:type="default" r:id="rId10"/>
      <w:footerReference w:type="default" r:id="rId11"/>
      <w:pgSz w:w="12240" w:h="15840"/>
      <w:pgMar w:top="1560" w:right="1440" w:bottom="1134" w:left="1440" w:header="284" w:footer="301"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304E0C" w14:textId="77777777" w:rsidR="00C43565" w:rsidRDefault="00C43565">
      <w:pPr>
        <w:spacing w:after="0" w:line="240" w:lineRule="auto"/>
      </w:pPr>
      <w:r>
        <w:separator/>
      </w:r>
    </w:p>
  </w:endnote>
  <w:endnote w:type="continuationSeparator" w:id="0">
    <w:p w14:paraId="5D98A821" w14:textId="77777777" w:rsidR="00C43565" w:rsidRDefault="00C43565">
      <w:pPr>
        <w:spacing w:after="0" w:line="240" w:lineRule="auto"/>
      </w:pPr>
      <w:r>
        <w:continuationSeparator/>
      </w:r>
    </w:p>
  </w:endnote>
  <w:endnote w:type="continuationNotice" w:id="1">
    <w:p w14:paraId="2201ABA4" w14:textId="77777777" w:rsidR="00C43565" w:rsidRDefault="00C4356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388F5" w14:textId="5042ECF5" w:rsidR="00D032D7" w:rsidRDefault="00A95281" w:rsidP="001943E0">
    <w:pPr>
      <w:spacing w:after="0"/>
      <w:rPr>
        <w:rFonts w:ascii="Arial" w:hAnsi="Arial" w:cs="Arial"/>
        <w:w w:val="97"/>
        <w:sz w:val="16"/>
      </w:rPr>
    </w:pPr>
    <w:r>
      <w:rPr>
        <w:noProof/>
        <w:sz w:val="36"/>
      </w:rPr>
      <w:drawing>
        <wp:anchor distT="0" distB="0" distL="114300" distR="114300" simplePos="0" relativeHeight="251660288" behindDoc="1" locked="0" layoutInCell="1" allowOverlap="1" wp14:anchorId="2A0F98FF" wp14:editId="712AA8CC">
          <wp:simplePos x="0" y="0"/>
          <wp:positionH relativeFrom="margin">
            <wp:posOffset>-485775</wp:posOffset>
          </wp:positionH>
          <wp:positionV relativeFrom="margin">
            <wp:posOffset>8404860</wp:posOffset>
          </wp:positionV>
          <wp:extent cx="6908800" cy="39370"/>
          <wp:effectExtent l="0" t="0" r="6350" b="0"/>
          <wp:wrapSquare wrapText="bothSides"/>
          <wp:docPr id="205942833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IGNE DEGRADEE.png"/>
                  <pic:cNvPicPr/>
                </pic:nvPicPr>
                <pic:blipFill>
                  <a:blip r:embed="rId1" cstate="print">
                    <a:extLst>
                      <a:ext uri="{28A0092B-C50C-407E-A947-70E740481C1C}">
                        <a14:useLocalDpi xmlns:a14="http://schemas.microsoft.com/office/drawing/2010/main" val="0"/>
                      </a:ext>
                    </a:extLst>
                  </a:blip>
                  <a:stretch>
                    <a:fillRect/>
                  </a:stretch>
                </pic:blipFill>
                <pic:spPr>
                  <a:xfrm flipH="1" flipV="1">
                    <a:off x="0" y="0"/>
                    <a:ext cx="6908800" cy="39370"/>
                  </a:xfrm>
                  <a:prstGeom prst="rect">
                    <a:avLst/>
                  </a:prstGeom>
                </pic:spPr>
              </pic:pic>
            </a:graphicData>
          </a:graphic>
          <wp14:sizeRelH relativeFrom="page">
            <wp14:pctWidth>0</wp14:pctWidth>
          </wp14:sizeRelH>
          <wp14:sizeRelV relativeFrom="page">
            <wp14:pctHeight>0</wp14:pctHeight>
          </wp14:sizeRelV>
        </wp:anchor>
      </w:drawing>
    </w:r>
  </w:p>
  <w:p w14:paraId="43BA03EF" w14:textId="0CCB6D93" w:rsidR="001943E0" w:rsidRPr="00A95281" w:rsidRDefault="00A95281" w:rsidP="001943E0">
    <w:pPr>
      <w:spacing w:after="0"/>
      <w:rPr>
        <w:rFonts w:ascii="Arial" w:hAnsi="Arial" w:cs="Arial"/>
        <w:w w:val="97"/>
        <w:sz w:val="24"/>
        <w:szCs w:val="36"/>
      </w:rPr>
    </w:pPr>
    <w:r>
      <w:rPr>
        <w:rFonts w:ascii="Arial" w:hAnsi="Arial"/>
        <w:sz w:val="24"/>
      </w:rPr>
      <w:t>© Schréder</w:t>
    </w:r>
  </w:p>
  <w:p w14:paraId="5235B513" w14:textId="79F52151" w:rsidR="006345FE" w:rsidRPr="00257441" w:rsidRDefault="001943E0" w:rsidP="001943E0">
    <w:pPr>
      <w:spacing w:after="0"/>
      <w:rPr>
        <w:rFonts w:ascii="Arial" w:hAnsi="Arial" w:cs="Arial"/>
        <w:w w:val="97"/>
        <w:sz w:val="16"/>
      </w:rPr>
    </w:pPr>
    <w:r>
      <w:rPr>
        <w:rFonts w:ascii="Arial" w:hAnsi="Arial"/>
        <w:sz w:val="16"/>
      </w:rPr>
      <w:t>Confidencial – solo para uso interno</w:t>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sidR="00D032D7" w:rsidRPr="00D032D7">
      <w:rPr>
        <w:rFonts w:ascii="Arial" w:hAnsi="Arial" w:cs="Arial"/>
        <w:sz w:val="16"/>
      </w:rPr>
      <w:fldChar w:fldCharType="begin"/>
    </w:r>
    <w:r w:rsidR="00D032D7" w:rsidRPr="00257441">
      <w:rPr>
        <w:rFonts w:ascii="Arial" w:hAnsi="Arial" w:cs="Arial"/>
        <w:sz w:val="16"/>
      </w:rPr>
      <w:instrText>PAGE   \* MERGEFORMAT</w:instrText>
    </w:r>
    <w:r w:rsidR="00D032D7" w:rsidRPr="00D032D7">
      <w:rPr>
        <w:rFonts w:ascii="Arial" w:hAnsi="Arial" w:cs="Arial"/>
        <w:sz w:val="16"/>
      </w:rPr>
      <w:fldChar w:fldCharType="separate"/>
    </w:r>
    <w:r w:rsidR="004F7AEE" w:rsidRPr="004F7AEE">
      <w:rPr>
        <w:rFonts w:ascii="Arial" w:hAnsi="Arial" w:cs="Arial"/>
        <w:sz w:val="16"/>
      </w:rPr>
      <w:t>3</w:t>
    </w:r>
    <w:r w:rsidR="00D032D7" w:rsidRPr="00D032D7">
      <w:rPr>
        <w:rFonts w:ascii="Arial" w:hAnsi="Arial" w:cs="Arial"/>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12682F" w14:textId="77777777" w:rsidR="00C43565" w:rsidRDefault="00C43565">
      <w:pPr>
        <w:spacing w:after="0" w:line="240" w:lineRule="auto"/>
      </w:pPr>
      <w:r>
        <w:separator/>
      </w:r>
    </w:p>
  </w:footnote>
  <w:footnote w:type="continuationSeparator" w:id="0">
    <w:p w14:paraId="75332492" w14:textId="77777777" w:rsidR="00C43565" w:rsidRDefault="00C43565">
      <w:pPr>
        <w:spacing w:after="0" w:line="240" w:lineRule="auto"/>
      </w:pPr>
      <w:r>
        <w:continuationSeparator/>
      </w:r>
    </w:p>
  </w:footnote>
  <w:footnote w:type="continuationNotice" w:id="1">
    <w:p w14:paraId="43CCA0C3" w14:textId="77777777" w:rsidR="00C43565" w:rsidRDefault="00C4356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1D616" w14:textId="77777777" w:rsidR="006345FE" w:rsidRPr="00D032D7" w:rsidRDefault="001943E0" w:rsidP="1972EE48">
    <w:pPr>
      <w:pStyle w:val="Header"/>
      <w:rPr>
        <w:sz w:val="16"/>
        <w:szCs w:val="16"/>
      </w:rPr>
    </w:pPr>
    <w:r>
      <w:rPr>
        <w:noProof/>
        <w:sz w:val="16"/>
      </w:rPr>
      <w:drawing>
        <wp:anchor distT="0" distB="0" distL="114300" distR="114300" simplePos="0" relativeHeight="251659264" behindDoc="1" locked="0" layoutInCell="1" allowOverlap="1" wp14:anchorId="5D9031EE" wp14:editId="7FD85A5D">
          <wp:simplePos x="0" y="0"/>
          <wp:positionH relativeFrom="margin">
            <wp:posOffset>-541020</wp:posOffset>
          </wp:positionH>
          <wp:positionV relativeFrom="topMargin">
            <wp:posOffset>349250</wp:posOffset>
          </wp:positionV>
          <wp:extent cx="1218565" cy="384175"/>
          <wp:effectExtent l="0" t="0" r="635" b="0"/>
          <wp:wrapNone/>
          <wp:docPr id="2059428330" name="Image 1" descr="Macintosh HD:Users:fcinq:PROJETS:SCHREDER:02_PROJECT:charte:Schreder-brand-guidelines:icons:lens:PDF:1080w:logo-schre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fcinq:PROJETS:SCHREDER:02_PROJECT:charte:Schreder-brand-guidelines:icons:lens:PDF:1080w:logo-schreder.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8565" cy="384175"/>
                  </a:xfrm>
                  <a:prstGeom prst="rect">
                    <a:avLst/>
                  </a:prstGeom>
                  <a:noFill/>
                  <a:ln>
                    <a:noFill/>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6" w:nlCheck="1" w:checkStyle="0"/>
  <w:activeWritingStyle w:appName="MSWord" w:lang="en-US" w:vendorID="64" w:dllVersion="6" w:nlCheck="1" w:checkStyle="1"/>
  <w:activeWritingStyle w:appName="MSWord" w:lang="en-GB" w:vendorID="64" w:dllVersion="6" w:nlCheck="1" w:checkStyle="1"/>
  <w:activeWritingStyle w:appName="MSWord" w:lang="en-GB" w:vendorID="64" w:dllVersion="0" w:nlCheck="1" w:checkStyle="0"/>
  <w:activeWritingStyle w:appName="MSWord" w:lang="en-US" w:vendorID="64" w:dllVersion="0" w:nlCheck="1" w:checkStyle="0"/>
  <w:activeWritingStyle w:appName="MSWord" w:lang="en-GB" w:vendorID="64" w:dllVersion="4096" w:nlCheck="1" w:checkStyle="0"/>
  <w:activeWritingStyle w:appName="MSWord" w:lang="en-US" w:vendorID="64" w:dllVersion="4096" w:nlCheck="1" w:checkStyle="0"/>
  <w:activeWritingStyle w:appName="MSWord" w:lang="es-ES" w:vendorID="64" w:dllVersion="0" w:nlCheck="1" w:checkStyle="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LQwMzIxNDA0NrE0tjBW0lEKTi0uzszPAykwqwUAJZxH2CwAAAA="/>
  </w:docVars>
  <w:rsids>
    <w:rsidRoot w:val="222264F3"/>
    <w:rsid w:val="00016452"/>
    <w:rsid w:val="00016E23"/>
    <w:rsid w:val="00020106"/>
    <w:rsid w:val="00026C51"/>
    <w:rsid w:val="00027930"/>
    <w:rsid w:val="00040325"/>
    <w:rsid w:val="00043ED3"/>
    <w:rsid w:val="0005209F"/>
    <w:rsid w:val="00060440"/>
    <w:rsid w:val="0006204E"/>
    <w:rsid w:val="00067BBB"/>
    <w:rsid w:val="000740D5"/>
    <w:rsid w:val="00075F72"/>
    <w:rsid w:val="00076D3E"/>
    <w:rsid w:val="00093C54"/>
    <w:rsid w:val="000D45B4"/>
    <w:rsid w:val="000D4947"/>
    <w:rsid w:val="000E2069"/>
    <w:rsid w:val="000E3F54"/>
    <w:rsid w:val="00102652"/>
    <w:rsid w:val="001109C2"/>
    <w:rsid w:val="00112342"/>
    <w:rsid w:val="00112E8C"/>
    <w:rsid w:val="001173C1"/>
    <w:rsid w:val="00126570"/>
    <w:rsid w:val="0013261C"/>
    <w:rsid w:val="00145D62"/>
    <w:rsid w:val="001466AB"/>
    <w:rsid w:val="00150F36"/>
    <w:rsid w:val="0015538F"/>
    <w:rsid w:val="00156D1D"/>
    <w:rsid w:val="0015721E"/>
    <w:rsid w:val="00162615"/>
    <w:rsid w:val="00176FD5"/>
    <w:rsid w:val="001813DE"/>
    <w:rsid w:val="001906FB"/>
    <w:rsid w:val="001943E0"/>
    <w:rsid w:val="001B44EC"/>
    <w:rsid w:val="001C0949"/>
    <w:rsid w:val="001D21AA"/>
    <w:rsid w:val="001E49E2"/>
    <w:rsid w:val="001F4B56"/>
    <w:rsid w:val="001F79B2"/>
    <w:rsid w:val="0020233C"/>
    <w:rsid w:val="00204AF5"/>
    <w:rsid w:val="00224941"/>
    <w:rsid w:val="00235E1B"/>
    <w:rsid w:val="00236B21"/>
    <w:rsid w:val="0025460E"/>
    <w:rsid w:val="00255C9D"/>
    <w:rsid w:val="00257441"/>
    <w:rsid w:val="002649BD"/>
    <w:rsid w:val="00272BDA"/>
    <w:rsid w:val="00273472"/>
    <w:rsid w:val="0028253F"/>
    <w:rsid w:val="00282650"/>
    <w:rsid w:val="00282A3B"/>
    <w:rsid w:val="002A71BC"/>
    <w:rsid w:val="002F6D4E"/>
    <w:rsid w:val="0030357A"/>
    <w:rsid w:val="00315013"/>
    <w:rsid w:val="00324C59"/>
    <w:rsid w:val="00332F25"/>
    <w:rsid w:val="00344F72"/>
    <w:rsid w:val="0035699A"/>
    <w:rsid w:val="003721CE"/>
    <w:rsid w:val="0039623C"/>
    <w:rsid w:val="003A4CFE"/>
    <w:rsid w:val="003B139D"/>
    <w:rsid w:val="003B4248"/>
    <w:rsid w:val="003B6F0D"/>
    <w:rsid w:val="003E0076"/>
    <w:rsid w:val="003E52C3"/>
    <w:rsid w:val="003F7FBE"/>
    <w:rsid w:val="00414127"/>
    <w:rsid w:val="004315C1"/>
    <w:rsid w:val="00435188"/>
    <w:rsid w:val="00437143"/>
    <w:rsid w:val="004374F0"/>
    <w:rsid w:val="00496339"/>
    <w:rsid w:val="004A265B"/>
    <w:rsid w:val="004A67F7"/>
    <w:rsid w:val="004B2E72"/>
    <w:rsid w:val="004B535C"/>
    <w:rsid w:val="004F29D8"/>
    <w:rsid w:val="004F7AEE"/>
    <w:rsid w:val="00506C3A"/>
    <w:rsid w:val="0051171C"/>
    <w:rsid w:val="005118AC"/>
    <w:rsid w:val="005163D4"/>
    <w:rsid w:val="0052378B"/>
    <w:rsid w:val="00531D93"/>
    <w:rsid w:val="005446C0"/>
    <w:rsid w:val="00550004"/>
    <w:rsid w:val="00553B00"/>
    <w:rsid w:val="00556C1D"/>
    <w:rsid w:val="0058353A"/>
    <w:rsid w:val="00597487"/>
    <w:rsid w:val="005B0A8A"/>
    <w:rsid w:val="005C5AAB"/>
    <w:rsid w:val="0061662D"/>
    <w:rsid w:val="006338E1"/>
    <w:rsid w:val="0063421E"/>
    <w:rsid w:val="006345FE"/>
    <w:rsid w:val="006430D8"/>
    <w:rsid w:val="00647104"/>
    <w:rsid w:val="00652B02"/>
    <w:rsid w:val="00662C4F"/>
    <w:rsid w:val="00692182"/>
    <w:rsid w:val="006D7C2F"/>
    <w:rsid w:val="006E682C"/>
    <w:rsid w:val="006E7A46"/>
    <w:rsid w:val="006E7B3E"/>
    <w:rsid w:val="006F7750"/>
    <w:rsid w:val="00704FD2"/>
    <w:rsid w:val="00710767"/>
    <w:rsid w:val="00710C4A"/>
    <w:rsid w:val="00753F49"/>
    <w:rsid w:val="00760E0C"/>
    <w:rsid w:val="007701AD"/>
    <w:rsid w:val="00771EE4"/>
    <w:rsid w:val="00774ECA"/>
    <w:rsid w:val="007760CE"/>
    <w:rsid w:val="00780877"/>
    <w:rsid w:val="007A1BB9"/>
    <w:rsid w:val="007B0B30"/>
    <w:rsid w:val="007D7490"/>
    <w:rsid w:val="007E0BA5"/>
    <w:rsid w:val="00816544"/>
    <w:rsid w:val="0081778D"/>
    <w:rsid w:val="00825850"/>
    <w:rsid w:val="00830957"/>
    <w:rsid w:val="00842521"/>
    <w:rsid w:val="00854328"/>
    <w:rsid w:val="00861422"/>
    <w:rsid w:val="00875981"/>
    <w:rsid w:val="0088719F"/>
    <w:rsid w:val="00896387"/>
    <w:rsid w:val="008A1DCB"/>
    <w:rsid w:val="008B0285"/>
    <w:rsid w:val="008B0625"/>
    <w:rsid w:val="008B4BD8"/>
    <w:rsid w:val="008D7C20"/>
    <w:rsid w:val="008E1144"/>
    <w:rsid w:val="008E1E53"/>
    <w:rsid w:val="008E79E4"/>
    <w:rsid w:val="008F331E"/>
    <w:rsid w:val="00942214"/>
    <w:rsid w:val="00942B8E"/>
    <w:rsid w:val="00983B7A"/>
    <w:rsid w:val="00992C03"/>
    <w:rsid w:val="00995DD6"/>
    <w:rsid w:val="0099648E"/>
    <w:rsid w:val="009A5B36"/>
    <w:rsid w:val="009C099E"/>
    <w:rsid w:val="009C1C8D"/>
    <w:rsid w:val="009D63E7"/>
    <w:rsid w:val="009F7F9E"/>
    <w:rsid w:val="00A02BC1"/>
    <w:rsid w:val="00A066AB"/>
    <w:rsid w:val="00A06FF9"/>
    <w:rsid w:val="00A14263"/>
    <w:rsid w:val="00A17544"/>
    <w:rsid w:val="00A307D3"/>
    <w:rsid w:val="00A62804"/>
    <w:rsid w:val="00A71DEA"/>
    <w:rsid w:val="00A71EB7"/>
    <w:rsid w:val="00A75F1B"/>
    <w:rsid w:val="00A93ACE"/>
    <w:rsid w:val="00A95281"/>
    <w:rsid w:val="00AB1EC2"/>
    <w:rsid w:val="00AB4CED"/>
    <w:rsid w:val="00AC4771"/>
    <w:rsid w:val="00AD2C3D"/>
    <w:rsid w:val="00AF397F"/>
    <w:rsid w:val="00AF46B6"/>
    <w:rsid w:val="00AF673B"/>
    <w:rsid w:val="00B15D86"/>
    <w:rsid w:val="00B244B6"/>
    <w:rsid w:val="00B24DBB"/>
    <w:rsid w:val="00B4289D"/>
    <w:rsid w:val="00B55AB9"/>
    <w:rsid w:val="00B7585A"/>
    <w:rsid w:val="00B86CAF"/>
    <w:rsid w:val="00B9264B"/>
    <w:rsid w:val="00B94306"/>
    <w:rsid w:val="00BC1F4C"/>
    <w:rsid w:val="00BC7551"/>
    <w:rsid w:val="00BD1966"/>
    <w:rsid w:val="00BE3580"/>
    <w:rsid w:val="00C12F5C"/>
    <w:rsid w:val="00C1542C"/>
    <w:rsid w:val="00C225BC"/>
    <w:rsid w:val="00C32CD9"/>
    <w:rsid w:val="00C34E37"/>
    <w:rsid w:val="00C40F66"/>
    <w:rsid w:val="00C43565"/>
    <w:rsid w:val="00C45E97"/>
    <w:rsid w:val="00C51B26"/>
    <w:rsid w:val="00C64FC1"/>
    <w:rsid w:val="00C801B4"/>
    <w:rsid w:val="00C82509"/>
    <w:rsid w:val="00C87840"/>
    <w:rsid w:val="00CB2488"/>
    <w:rsid w:val="00CB48CF"/>
    <w:rsid w:val="00CB672E"/>
    <w:rsid w:val="00CB7E16"/>
    <w:rsid w:val="00CC3F6B"/>
    <w:rsid w:val="00CD4EC2"/>
    <w:rsid w:val="00CD6427"/>
    <w:rsid w:val="00CD6ABB"/>
    <w:rsid w:val="00CF780D"/>
    <w:rsid w:val="00D00990"/>
    <w:rsid w:val="00D032D7"/>
    <w:rsid w:val="00D042C1"/>
    <w:rsid w:val="00D07DEE"/>
    <w:rsid w:val="00D13D7C"/>
    <w:rsid w:val="00D33BC7"/>
    <w:rsid w:val="00D42B36"/>
    <w:rsid w:val="00D672D3"/>
    <w:rsid w:val="00D91187"/>
    <w:rsid w:val="00DA1A2F"/>
    <w:rsid w:val="00DB0CFA"/>
    <w:rsid w:val="00DE5E43"/>
    <w:rsid w:val="00DE7F15"/>
    <w:rsid w:val="00DF31E1"/>
    <w:rsid w:val="00DF63D8"/>
    <w:rsid w:val="00DF6F7B"/>
    <w:rsid w:val="00E0521E"/>
    <w:rsid w:val="00E07018"/>
    <w:rsid w:val="00E244A3"/>
    <w:rsid w:val="00E62F70"/>
    <w:rsid w:val="00E73874"/>
    <w:rsid w:val="00EE6AE5"/>
    <w:rsid w:val="00F0278B"/>
    <w:rsid w:val="00F04910"/>
    <w:rsid w:val="00F2748A"/>
    <w:rsid w:val="00F3342E"/>
    <w:rsid w:val="00F55170"/>
    <w:rsid w:val="00F6015E"/>
    <w:rsid w:val="00F62253"/>
    <w:rsid w:val="00F64DB5"/>
    <w:rsid w:val="00F824F5"/>
    <w:rsid w:val="00FA7F4F"/>
    <w:rsid w:val="00FB3989"/>
    <w:rsid w:val="00FB7BA7"/>
    <w:rsid w:val="00FC0AFD"/>
    <w:rsid w:val="00FE5A26"/>
    <w:rsid w:val="00FF5412"/>
    <w:rsid w:val="00FF7849"/>
    <w:rsid w:val="0102AA10"/>
    <w:rsid w:val="015CF944"/>
    <w:rsid w:val="02CDDE20"/>
    <w:rsid w:val="040AD51D"/>
    <w:rsid w:val="05471997"/>
    <w:rsid w:val="0574657A"/>
    <w:rsid w:val="09182723"/>
    <w:rsid w:val="0B4CB659"/>
    <w:rsid w:val="158BC2CC"/>
    <w:rsid w:val="167BE15E"/>
    <w:rsid w:val="1972EE48"/>
    <w:rsid w:val="1C0A3C51"/>
    <w:rsid w:val="1FEDE690"/>
    <w:rsid w:val="20213D06"/>
    <w:rsid w:val="222264F3"/>
    <w:rsid w:val="227E7603"/>
    <w:rsid w:val="24717EE1"/>
    <w:rsid w:val="24C18989"/>
    <w:rsid w:val="2825A8F8"/>
    <w:rsid w:val="2C8792F4"/>
    <w:rsid w:val="2E560208"/>
    <w:rsid w:val="324A5DF0"/>
    <w:rsid w:val="33E94830"/>
    <w:rsid w:val="33FFDFDC"/>
    <w:rsid w:val="36F59291"/>
    <w:rsid w:val="38BDC466"/>
    <w:rsid w:val="39352ECA"/>
    <w:rsid w:val="3AAB0A6B"/>
    <w:rsid w:val="3ABA0C16"/>
    <w:rsid w:val="3FD83484"/>
    <w:rsid w:val="41558A48"/>
    <w:rsid w:val="4582DE47"/>
    <w:rsid w:val="464490AC"/>
    <w:rsid w:val="48A44C04"/>
    <w:rsid w:val="49F9F686"/>
    <w:rsid w:val="4B804EF0"/>
    <w:rsid w:val="4BA5B6FA"/>
    <w:rsid w:val="4ED85424"/>
    <w:rsid w:val="50ABE192"/>
    <w:rsid w:val="50D698F4"/>
    <w:rsid w:val="51F73FC0"/>
    <w:rsid w:val="52570834"/>
    <w:rsid w:val="5841AD8D"/>
    <w:rsid w:val="58FDA055"/>
    <w:rsid w:val="5C79D35F"/>
    <w:rsid w:val="5C86E00D"/>
    <w:rsid w:val="609E787E"/>
    <w:rsid w:val="61B911D5"/>
    <w:rsid w:val="6280341A"/>
    <w:rsid w:val="62A18A08"/>
    <w:rsid w:val="69BDE4CA"/>
    <w:rsid w:val="69DF4EED"/>
    <w:rsid w:val="6B742EE2"/>
    <w:rsid w:val="6DEEBE8B"/>
    <w:rsid w:val="6F0477CB"/>
    <w:rsid w:val="789DA35B"/>
    <w:rsid w:val="7A10D0BB"/>
    <w:rsid w:val="7A57BFE8"/>
    <w:rsid w:val="7AC061F0"/>
    <w:rsid w:val="7BAC309C"/>
    <w:rsid w:val="7CB85C81"/>
    <w:rsid w:val="7EEBB195"/>
    <w:rsid w:val="7FD951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10DF1A"/>
  <w15:chartTrackingRefBased/>
  <w15:docId w15:val="{660D6B90-4557-45CC-983D-D7B302C0D3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7441"/>
  </w:style>
  <w:style w:type="paragraph" w:styleId="Heading1">
    <w:name w:val="heading 1"/>
    <w:basedOn w:val="Normal"/>
    <w:next w:val="Normal"/>
    <w:link w:val="Heading1Char"/>
    <w:uiPriority w:val="9"/>
    <w:qFormat/>
    <w:rsid w:val="006345F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345F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B6F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5">
    <w:name w:val="Plain Table 5"/>
    <w:basedOn w:val="TableNormal"/>
    <w:uiPriority w:val="45"/>
    <w:rsid w:val="000D45B4"/>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PlainTable4">
    <w:name w:val="Plain Table 4"/>
    <w:basedOn w:val="TableNormal"/>
    <w:uiPriority w:val="44"/>
    <w:rsid w:val="000D45B4"/>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3">
    <w:name w:val="Plain Table 3"/>
    <w:basedOn w:val="TableNormal"/>
    <w:uiPriority w:val="43"/>
    <w:rsid w:val="000D45B4"/>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41"/>
    <w:rsid w:val="000D45B4"/>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Heading1Char">
    <w:name w:val="Heading 1 Char"/>
    <w:basedOn w:val="DefaultParagraphFont"/>
    <w:link w:val="Heading1"/>
    <w:uiPriority w:val="9"/>
    <w:rsid w:val="006345FE"/>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6345FE"/>
    <w:rPr>
      <w:rFonts w:asciiTheme="majorHAnsi" w:eastAsiaTheme="majorEastAsia" w:hAnsiTheme="majorHAnsi" w:cstheme="majorBidi"/>
      <w:color w:val="2F5496" w:themeColor="accent1" w:themeShade="BF"/>
      <w:sz w:val="26"/>
      <w:szCs w:val="26"/>
    </w:rPr>
  </w:style>
  <w:style w:type="paragraph" w:styleId="TOC1">
    <w:name w:val="toc 1"/>
    <w:basedOn w:val="Normal"/>
    <w:next w:val="Normal"/>
    <w:autoRedefine/>
    <w:uiPriority w:val="39"/>
    <w:unhideWhenUsed/>
    <w:rsid w:val="00D032D7"/>
    <w:pPr>
      <w:tabs>
        <w:tab w:val="right" w:leader="dot" w:pos="9350"/>
      </w:tabs>
      <w:spacing w:after="0" w:line="240" w:lineRule="auto"/>
    </w:pPr>
  </w:style>
  <w:style w:type="paragraph" w:styleId="TOC2">
    <w:name w:val="toc 2"/>
    <w:basedOn w:val="Normal"/>
    <w:next w:val="Normal"/>
    <w:autoRedefine/>
    <w:uiPriority w:val="39"/>
    <w:unhideWhenUsed/>
    <w:rsid w:val="006345FE"/>
    <w:pPr>
      <w:spacing w:after="100"/>
      <w:ind w:left="220"/>
    </w:pPr>
  </w:style>
  <w:style w:type="character" w:styleId="Hyperlink">
    <w:name w:val="Hyperlink"/>
    <w:basedOn w:val="DefaultParagraphFont"/>
    <w:uiPriority w:val="99"/>
    <w:unhideWhenUsed/>
    <w:rsid w:val="006345FE"/>
    <w:rPr>
      <w:color w:val="0563C1" w:themeColor="hyperlink"/>
      <w:u w:val="single"/>
    </w:rPr>
  </w:style>
  <w:style w:type="paragraph" w:styleId="Title">
    <w:name w:val="Title"/>
    <w:basedOn w:val="Normal"/>
    <w:next w:val="Normal"/>
    <w:link w:val="TitleChar"/>
    <w:uiPriority w:val="10"/>
    <w:qFormat/>
    <w:rsid w:val="00DA1A2F"/>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A1A2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A1A2F"/>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DA1A2F"/>
    <w:rPr>
      <w:rFonts w:eastAsiaTheme="minorEastAsia"/>
      <w:color w:val="5A5A5A" w:themeColor="text1" w:themeTint="A5"/>
      <w:spacing w:val="15"/>
    </w:rPr>
  </w:style>
  <w:style w:type="paragraph" w:styleId="Revision">
    <w:name w:val="Revision"/>
    <w:hidden/>
    <w:uiPriority w:val="99"/>
    <w:semiHidden/>
    <w:rsid w:val="00272BDA"/>
    <w:pPr>
      <w:spacing w:after="0" w:line="240" w:lineRule="auto"/>
    </w:pPr>
  </w:style>
  <w:style w:type="character" w:styleId="CommentReference">
    <w:name w:val="annotation reference"/>
    <w:basedOn w:val="DefaultParagraphFont"/>
    <w:uiPriority w:val="99"/>
    <w:semiHidden/>
    <w:unhideWhenUsed/>
    <w:rsid w:val="00B15D86"/>
    <w:rPr>
      <w:sz w:val="16"/>
      <w:szCs w:val="16"/>
    </w:rPr>
  </w:style>
  <w:style w:type="paragraph" w:styleId="CommentText">
    <w:name w:val="annotation text"/>
    <w:basedOn w:val="Normal"/>
    <w:link w:val="CommentTextChar"/>
    <w:uiPriority w:val="99"/>
    <w:unhideWhenUsed/>
    <w:rsid w:val="00B15D86"/>
    <w:pPr>
      <w:spacing w:line="240" w:lineRule="auto"/>
    </w:pPr>
    <w:rPr>
      <w:sz w:val="20"/>
      <w:szCs w:val="20"/>
    </w:rPr>
  </w:style>
  <w:style w:type="character" w:customStyle="1" w:styleId="CommentTextChar">
    <w:name w:val="Comment Text Char"/>
    <w:basedOn w:val="DefaultParagraphFont"/>
    <w:link w:val="CommentText"/>
    <w:uiPriority w:val="99"/>
    <w:rsid w:val="00B15D86"/>
    <w:rPr>
      <w:sz w:val="20"/>
      <w:szCs w:val="20"/>
    </w:rPr>
  </w:style>
  <w:style w:type="paragraph" w:styleId="CommentSubject">
    <w:name w:val="annotation subject"/>
    <w:basedOn w:val="CommentText"/>
    <w:next w:val="CommentText"/>
    <w:link w:val="CommentSubjectChar"/>
    <w:uiPriority w:val="99"/>
    <w:semiHidden/>
    <w:unhideWhenUsed/>
    <w:rsid w:val="00B15D86"/>
    <w:rPr>
      <w:b/>
      <w:bCs/>
    </w:rPr>
  </w:style>
  <w:style w:type="character" w:customStyle="1" w:styleId="CommentSubjectChar">
    <w:name w:val="Comment Subject Char"/>
    <w:basedOn w:val="CommentTextChar"/>
    <w:link w:val="CommentSubject"/>
    <w:uiPriority w:val="99"/>
    <w:semiHidden/>
    <w:rsid w:val="00B15D8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External Tender Text" ma:contentTypeID="0x01010014403C393692274BB7E52EE16EAF574B3D0200748EE88141BC254DADE90ABADD83A8F4" ma:contentTypeVersion="16" ma:contentTypeDescription="" ma:contentTypeScope="" ma:versionID="2e8c93d11c0bb726989bccca627df6bf">
  <xsd:schema xmlns:xsd="http://www.w3.org/2001/XMLSchema" xmlns:xs="http://www.w3.org/2001/XMLSchema" xmlns:p="http://schemas.microsoft.com/office/2006/metadata/properties" xmlns:ns2="a1ad5804-8801-4c4c-b28f-e38a55ff1857" targetNamespace="http://schemas.microsoft.com/office/2006/metadata/properties" ma:root="true" ma:fieldsID="5106a960f2eace2b1352a84f3192a83e" ns2:_="">
    <xsd:import namespace="a1ad5804-8801-4c4c-b28f-e38a55ff1857"/>
    <xsd:element name="properties">
      <xsd:complexType>
        <xsd:sequence>
          <xsd:element name="documentManagement">
            <xsd:complexType>
              <xsd:all>
                <xsd:element ref="ns2:shdrlkpCompany" minOccurs="0"/>
                <xsd:element ref="ns2:ff8e485ad85449aab81fd96ab1f78f16" minOccurs="0"/>
                <xsd:element ref="ns2:TaxCatchAll" minOccurs="0"/>
                <xsd:element ref="ns2:TaxCatchAllLabel" minOccurs="0"/>
                <xsd:element ref="ns2:ab55be917f384f2d83057f3e7024f629" minOccurs="0"/>
                <xsd:element ref="ns2:TaxKeywordTaxHTField" minOccurs="0"/>
                <xsd:element ref="ns2:shdrlkpCompany_x003a_Code" minOccurs="0"/>
                <xsd:element ref="ns2:shdrlkpCompany_x003a_Region" minOccurs="0"/>
                <xsd:element ref="ns2:shdrlkpCompany_x003a_Country" minOccurs="0"/>
                <xsd:element ref="ns2:shdrlkpNeed" minOccurs="0"/>
                <xsd:element ref="ns2:shdrlkpProductFamily" minOccurs="0"/>
                <xsd:element ref="ns2:shdrlkpAssociatedLuminaires" minOccurs="0"/>
                <xsd:element ref="ns2:shdrlkpProduct" minOccurs="0"/>
                <xsd:element ref="ns2:srdrProductVersion" minOccurs="0"/>
                <xsd:element ref="ns2:shdrDocumentType" minOccurs="0"/>
                <xsd:element ref="ns2:shdrDocument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ad5804-8801-4c4c-b28f-e38a55ff1857" elementFormDefault="qualified">
    <xsd:import namespace="http://schemas.microsoft.com/office/2006/documentManagement/types"/>
    <xsd:import namespace="http://schemas.microsoft.com/office/infopath/2007/PartnerControls"/>
    <xsd:element name="shdrlkpCompany" ma:index="3" nillable="true" ma:displayName="Company" ma:default="" ma:list="{5f26bea6-077c-418a-b004-7c7983cf9043}" ma:internalName="shdrlkpCompany" ma:readOnly="false" ma:showField="shdrCompanyNameSync" ma:web="a1ad5804-8801-4c4c-b28f-e38a55ff1857">
      <xsd:simpleType>
        <xsd:restriction base="dms:Lookup"/>
      </xsd:simpleType>
    </xsd:element>
    <xsd:element name="ff8e485ad85449aab81fd96ab1f78f16" ma:index="8" nillable="true" ma:taxonomy="true" ma:internalName="ff8e485ad85449aab81fd96ab1f78f16" ma:taxonomyFieldName="shdrLanguage" ma:displayName="Language" ma:readOnly="false" ma:fieldId="{ff8e485a-d854-49aa-b81f-d96ab1f78f16}" ma:sspId="17508b3a-a689-4992-a5b6-cf3c197e05fe" ma:termSetId="93275664-feec-4704-bcd6-f81f301bd48e"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ea204426-8a20-4804-8ef9-3b2b7b305f4b}" ma:internalName="TaxCatchAll" ma:showField="CatchAllData" ma:web="a1ad5804-8801-4c4c-b28f-e38a55ff1857">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ea204426-8a20-4804-8ef9-3b2b7b305f4b}" ma:internalName="TaxCatchAllLabel" ma:readOnly="true" ma:showField="CatchAllDataLabel" ma:web="a1ad5804-8801-4c4c-b28f-e38a55ff1857">
      <xsd:complexType>
        <xsd:complexContent>
          <xsd:extension base="dms:MultiChoiceLookup">
            <xsd:sequence>
              <xsd:element name="Value" type="dms:Lookup" maxOccurs="unbounded" minOccurs="0" nillable="true"/>
            </xsd:sequence>
          </xsd:extension>
        </xsd:complexContent>
      </xsd:complexType>
    </xsd:element>
    <xsd:element name="ab55be917f384f2d83057f3e7024f629" ma:index="12" nillable="true" ma:taxonomy="true" ma:internalName="ab55be917f384f2d83057f3e7024f629" ma:taxonomyFieldName="shdrDepartment" ma:displayName="Department" ma:readOnly="false" ma:fieldId="{ab55be91-7f38-4f2d-8305-7f3e7024f629}" ma:sspId="17508b3a-a689-4992-a5b6-cf3c197e05fe" ma:termSetId="42dea245-a478-4d73-ad60-33c8f2c3c2fe" ma:anchorId="00000000-0000-0000-0000-000000000000" ma:open="false" ma:isKeyword="false">
      <xsd:complexType>
        <xsd:sequence>
          <xsd:element ref="pc:Terms" minOccurs="0" maxOccurs="1"/>
        </xsd:sequence>
      </xsd:complexType>
    </xsd:element>
    <xsd:element name="TaxKeywordTaxHTField" ma:index="14" nillable="true" ma:taxonomy="true" ma:internalName="TaxKeywordTaxHTField" ma:taxonomyFieldName="TaxKeyword" ma:displayName="Enterprise Keywords" ma:readOnly="false" ma:fieldId="{23f27201-bee3-471e-b2e7-b64fd8b7ca38}" ma:taxonomyMulti="true" ma:sspId="00000000-0000-0000-0000-000000000000" ma:termSetId="00000000-0000-0000-0000-000000000000" ma:anchorId="00000000-0000-0000-0000-000000000000" ma:open="true" ma:isKeyword="true">
      <xsd:complexType>
        <xsd:sequence>
          <xsd:element ref="pc:Terms" minOccurs="0" maxOccurs="1"/>
        </xsd:sequence>
      </xsd:complexType>
    </xsd:element>
    <xsd:element name="shdrlkpCompany_x003a_Code" ma:index="17" nillable="true" ma:displayName="shdrlkpCompany:Code" ma:list="{5f26bea6-077c-418a-b004-7c7983cf9043}" ma:internalName="shdrlkpCompany_x003A_Code" ma:readOnly="true" ma:showField="shdrCodeSync" ma:web="a1ad5804-8801-4c4c-b28f-e38a55ff1857">
      <xsd:simpleType>
        <xsd:restriction base="dms:Lookup"/>
      </xsd:simpleType>
    </xsd:element>
    <xsd:element name="shdrlkpCompany_x003a_Region" ma:index="18" nillable="true" ma:displayName="shdrlkpCompany:Region" ma:list="{5f26bea6-077c-418a-b004-7c7983cf9043}" ma:internalName="shdrlkpCompany_x003A_Region" ma:readOnly="true" ma:showField="shdrRegionSync" ma:web="a1ad5804-8801-4c4c-b28f-e38a55ff1857">
      <xsd:simpleType>
        <xsd:restriction base="dms:Lookup"/>
      </xsd:simpleType>
    </xsd:element>
    <xsd:element name="shdrlkpCompany_x003a_Country" ma:index="19" nillable="true" ma:displayName="shdrlkpCompany:Country" ma:list="{5f26bea6-077c-418a-b004-7c7983cf9043}" ma:internalName="shdrlkpCompany_x003A_Country" ma:readOnly="true" ma:showField="shdrCountrySync" ma:web="a1ad5804-8801-4c4c-b28f-e38a55ff1857">
      <xsd:simpleType>
        <xsd:restriction base="dms:Lookup"/>
      </xsd:simpleType>
    </xsd:element>
    <xsd:element name="shdrlkpNeed" ma:index="20" nillable="true" ma:displayName="shdrlkpNeed" ma:default="" ma:list="{0c620aa7-18a8-4190-af2a-21829671a1ef}" ma:internalName="shdrlkpNeed" ma:showField="shdrNeedSync" ma:web="a1ad5804-8801-4c4c-b28f-e38a55ff1857">
      <xsd:simpleType>
        <xsd:restriction base="dms:Lookup"/>
      </xsd:simpleType>
    </xsd:element>
    <xsd:element name="shdrlkpProductFamily" ma:index="21" nillable="true" ma:displayName="shdrlkpProductFamily" ma:default="" ma:description="Reserved use for Communication department to link with ProductSPOT" ma:list="{0c620aa7-18a8-4190-af2a-21829671a1ef}" ma:internalName="shdrlkpProductFamily" ma:showField="shdrProductFamilySync" ma:web="a1ad5804-8801-4c4c-b28f-e38a55ff1857">
      <xsd:simpleType>
        <xsd:restriction base="dms:Unknown"/>
      </xsd:simpleType>
    </xsd:element>
    <xsd:element name="shdrlkpAssociatedLuminaires" ma:index="22" nillable="true" ma:displayName="shdrlkpAssociatedLuminaires" ma:default="" ma:list="{0c620aa7-18a8-4190-af2a-21829671a1ef}" ma:internalName="shdrlkpAssociatedLuminaires" ma:showField="shdrProductFamilySync" ma:web="a1ad5804-8801-4c4c-b28f-e38a55ff1857">
      <xsd:simpleType>
        <xsd:restriction base="dms:Unknown"/>
      </xsd:simpleType>
    </xsd:element>
    <xsd:element name="shdrlkpProduct" ma:index="23" nillable="true" ma:displayName="shdrlkpProduct" ma:default="" ma:list="{0c620aa7-18a8-4190-af2a-21829671a1ef}" ma:internalName="shdrlkpProduct" ma:showField="shdrProductSync" ma:web="a1ad5804-8801-4c4c-b28f-e38a55ff1857">
      <xsd:simpleType>
        <xsd:restriction base="dms:Lookup"/>
      </xsd:simpleType>
    </xsd:element>
    <xsd:element name="srdrProductVersion" ma:index="24" nillable="true" ma:displayName="Product Version" ma:internalName="srdrProductVersion">
      <xsd:complexType>
        <xsd:complexContent>
          <xsd:extension base="dms:MultiChoice">
            <xsd:sequence>
              <xsd:element name="Value" maxOccurs="unbounded" minOccurs="0" nillable="true">
                <xsd:simpleType>
                  <xsd:restriction base="dms:Choice">
                    <xsd:enumeration value="CAMPUS"/>
                    <xsd:enumeration value="LIGHT"/>
                    <xsd:enumeration value="SECURITY"/>
                    <xsd:enumeration value="MOBILITY"/>
                    <xsd:enumeration value="SOS"/>
                  </xsd:restriction>
                </xsd:simpleType>
              </xsd:element>
            </xsd:sequence>
          </xsd:extension>
        </xsd:complexContent>
      </xsd:complexType>
    </xsd:element>
    <xsd:element name="shdrDocumentType" ma:index="25" nillable="true" ma:displayName="Document Type" ma:internalName="shdrDocumentType">
      <xsd:simpleType>
        <xsd:restriction base="dms:Text">
          <xsd:maxLength value="255"/>
        </xsd:restriction>
      </xsd:simpleType>
    </xsd:element>
    <xsd:element name="shdrDocumentCategory" ma:index="26" nillable="true" ma:displayName="Document Category" ma:internalName="shdrDocumentCategory">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1"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a1ad5804-8801-4c4c-b28f-e38a55ff1857">
      <Value>152</Value>
      <Value>12</Value>
    </TaxCatchAll>
    <shdrlkpAssociatedLuminaires xmlns="a1ad5804-8801-4c4c-b28f-e38a55ff1857" xsi:nil="true"/>
    <ff8e485ad85449aab81fd96ab1f78f16 xmlns="a1ad5804-8801-4c4c-b28f-e38a55ff1857">
      <Terms xmlns="http://schemas.microsoft.com/office/infopath/2007/PartnerControls">
        <TermInfo xmlns="http://schemas.microsoft.com/office/infopath/2007/PartnerControls">
          <TermName xmlns="http://schemas.microsoft.com/office/infopath/2007/PartnerControls">Spanish</TermName>
          <TermId xmlns="http://schemas.microsoft.com/office/infopath/2007/PartnerControls">2e3a16be-e994-4cff-a09a-ebfaae11c9bf</TermId>
        </TermInfo>
      </Terms>
    </ff8e485ad85449aab81fd96ab1f78f16>
    <shdrlkpProduct xmlns="a1ad5804-8801-4c4c-b28f-e38a55ff1857" xsi:nil="true"/>
    <shdrDocumentCategory xmlns="a1ad5804-8801-4c4c-b28f-e38a55ff1857" xsi:nil="true"/>
    <shdrDocumentType xmlns="a1ad5804-8801-4c4c-b28f-e38a55ff1857" xsi:nil="true"/>
    <shdrlkpNeed xmlns="a1ad5804-8801-4c4c-b28f-e38a55ff1857">1</shdrlkpNeed>
    <TaxKeywordTaxHTField xmlns="a1ad5804-8801-4c4c-b28f-e38a55ff1857">
      <Terms xmlns="http://schemas.microsoft.com/office/infopath/2007/PartnerControls"/>
    </TaxKeywordTaxHTField>
    <shdrlkpProductFamily xmlns="a1ad5804-8801-4c4c-b28f-e38a55ff1857">899;#CITEA NG2;#747;#IZYLUM;#937;#Schreder EKINOX;#780;#TECEO GEN2</shdrlkpProductFamily>
    <ab55be917f384f2d83057f3e7024f629 xmlns="a1ad5804-8801-4c4c-b28f-e38a55ff1857">
      <Terms xmlns="http://schemas.microsoft.com/office/infopath/2007/PartnerControls">
        <TermInfo xmlns="http://schemas.microsoft.com/office/infopath/2007/PartnerControls">
          <TermName xmlns="http://schemas.microsoft.com/office/infopath/2007/PartnerControls">Communication</TermName>
          <TermId xmlns="http://schemas.microsoft.com/office/infopath/2007/PartnerControls">15df1d7f-3e82-476b-a838-2ec09a036e7c</TermId>
        </TermInfo>
      </Terms>
    </ab55be917f384f2d83057f3e7024f629>
    <srdrProductVersion xmlns="a1ad5804-8801-4c4c-b28f-e38a55ff1857"/>
    <shdrlkpCompany xmlns="a1ad5804-8801-4c4c-b28f-e38a55ff1857">28</shdrlkpCompany>
  </documentManagement>
</p:properties>
</file>

<file path=customXml/itemProps1.xml><?xml version="1.0" encoding="utf-8"?>
<ds:datastoreItem xmlns:ds="http://schemas.openxmlformats.org/officeDocument/2006/customXml" ds:itemID="{47BEC6B7-4EF8-4C19-BB71-FE584C3387E3}">
  <ds:schemaRefs>
    <ds:schemaRef ds:uri="http://schemas.microsoft.com/sharepoint/v3/contenttype/forms"/>
  </ds:schemaRefs>
</ds:datastoreItem>
</file>

<file path=customXml/itemProps2.xml><?xml version="1.0" encoding="utf-8"?>
<ds:datastoreItem xmlns:ds="http://schemas.openxmlformats.org/officeDocument/2006/customXml" ds:itemID="{A99EF2A1-1546-4089-AD8C-3FAE8A703723}"/>
</file>

<file path=customXml/itemProps3.xml><?xml version="1.0" encoding="utf-8"?>
<ds:datastoreItem xmlns:ds="http://schemas.openxmlformats.org/officeDocument/2006/customXml" ds:itemID="{F1E0673C-201C-425D-AB1F-7D2A8ABE95C5}">
  <ds:schemaRefs>
    <ds:schemaRef ds:uri="http://schemas.openxmlformats.org/officeDocument/2006/bibliography"/>
  </ds:schemaRefs>
</ds:datastoreItem>
</file>

<file path=customXml/itemProps4.xml><?xml version="1.0" encoding="utf-8"?>
<ds:datastoreItem xmlns:ds="http://schemas.openxmlformats.org/officeDocument/2006/customXml" ds:itemID="{07CA1CF7-A86A-4C2C-8AA0-3166FA757910}">
  <ds:schemaRefs>
    <ds:schemaRef ds:uri="http://schemas.microsoft.com/office/2006/metadata/properties"/>
    <ds:schemaRef ds:uri="http://schemas.microsoft.com/office/infopath/2007/PartnerControls"/>
    <ds:schemaRef ds:uri="670c84ca-54c3-49c1-8792-6bc38780fa61"/>
    <ds:schemaRef ds:uri="8c42734b-a0ae-4105-9690-593e22e3eca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877</Words>
  <Characters>4712</Characters>
  <Application>Microsoft Office Word</Application>
  <DocSecurity>4</DocSecurity>
  <Lines>82</Lines>
  <Paragraphs>41</Paragraphs>
  <ScaleCrop>false</ScaleCrop>
  <HeadingPairs>
    <vt:vector size="4" baseType="variant">
      <vt:variant>
        <vt:lpstr>Title</vt:lpstr>
      </vt:variant>
      <vt:variant>
        <vt:i4>1</vt:i4>
      </vt:variant>
      <vt:variant>
        <vt:lpstr>Cím</vt:lpstr>
      </vt:variant>
      <vt:variant>
        <vt:i4>1</vt:i4>
      </vt:variant>
    </vt:vector>
  </HeadingPairs>
  <TitlesOfParts>
    <vt:vector size="2" baseType="lpstr">
      <vt:lpstr>IZYLUM - English Internal tender text</vt:lpstr>
      <vt:lpstr/>
    </vt:vector>
  </TitlesOfParts>
  <Company/>
  <LinksUpToDate>false</LinksUpToDate>
  <CharactersWithSpaces>5548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Schréder EKINOX - Spanish tender texts</dc:title>
  <dc:subject/>
  <dc:creator>RAGONCSA Szabolcs</dc:creator>
  <cp:keywords/>
  <dc:description/>
  <cp:lastModifiedBy>HALLEUX Stéphane</cp:lastModifiedBy>
  <cp:revision>2</cp:revision>
  <cp:lastPrinted>2019-11-13T16:44:00Z</cp:lastPrinted>
  <dcterms:created xsi:type="dcterms:W3CDTF">2023-01-23T16:46:00Z</dcterms:created>
  <dcterms:modified xsi:type="dcterms:W3CDTF">2023-01-23T16:46:00Z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0x01010014403C393692274BB7E52EE16EAF574B3D0200748EE88141BC254DADE90ABADD83A8F4</vt:lpwstr>
  </property>
  <property fmtid="{D5CDD505-2E9C-101B-9397-08002B2CF9AE}" pid="3" name="shdrLanguage">
    <vt:lpwstr>12;#Spanish|2e3a16be-e994-4cff-a09a-ebfaae11c9bf</vt:lpwstr>
  </property>
  <property fmtid="{D5CDD505-2E9C-101B-9397-08002B2CF9AE}" pid="4" name="TaxKeyword">
    <vt:lpwstr/>
  </property>
  <property fmtid="{D5CDD505-2E9C-101B-9397-08002B2CF9AE}" pid="5" name="shdrDepartment">
    <vt:lpwstr>152;#Communication|15df1d7f-3e82-476b-a838-2ec09a036e7c</vt:lpwstr>
  </property>
  <property fmtid="{D5CDD505-2E9C-101B-9397-08002B2CF9AE}" pid="6" name="MediaServiceImageTags">
    <vt:lpwstr/>
  </property>
</Properties>
</file>